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080"/>
        <w:gridCol w:w="6254"/>
      </w:tblGrid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Pr="006E1373" w:rsidRDefault="006E1373" w:rsidP="006E1373">
            <w:pPr>
              <w:pStyle w:val="a5"/>
              <w:keepNext/>
              <w:keepLines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Toc22220648"/>
            <w:bookmarkStart w:id="1" w:name="_Toc18055602"/>
            <w:r>
              <w:rPr>
                <w:b/>
              </w:rPr>
              <w:t>ИЗВЕЩЕНИЕ О ПРОВЕДЕНИИ АУКЦИОНА</w:t>
            </w:r>
            <w:bookmarkEnd w:id="0"/>
            <w:bookmarkEnd w:id="1"/>
          </w:p>
          <w:p w:rsidR="006E1373" w:rsidRDefault="006E1373" w:rsidP="006E1373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проведения торгов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Тип и способ проведения торгов: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Продажа муниципального имущества на </w:t>
            </w:r>
            <w:proofErr w:type="gramStart"/>
            <w:r>
              <w:rPr>
                <w:rFonts w:eastAsia="Times New Roman"/>
              </w:rPr>
              <w:t>аукционе  в</w:t>
            </w:r>
            <w:proofErr w:type="gramEnd"/>
            <w:r>
              <w:rPr>
                <w:rFonts w:eastAsia="Times New Roman"/>
              </w:rPr>
              <w:t xml:space="preserve"> электронной. Аукцион является открытым по составу участников. Предложения о цене муниципального имущества заявляются участниками аукциона открыто в ходе проведения аукциона.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Форма: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Открытый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Способ подачи предложений о цене: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Открытый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Информация о Лоте (Лот №1) 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Предмет аукциона (торгов):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r>
              <w:rPr>
                <w:rFonts w:eastAsia="Times New Roman"/>
              </w:rPr>
              <w:t>Право</w:t>
            </w:r>
            <w:r>
              <w:rPr>
                <w:rFonts w:eastAsia="Times New Roman"/>
                <w:color w:val="000000"/>
              </w:rPr>
              <w:t xml:space="preserve"> на заключение договора купли-продажи нежилого помещения </w:t>
            </w:r>
            <w:r>
              <w:rPr>
                <w:rFonts w:eastAsia="Times New Roman"/>
                <w:bCs/>
                <w:color w:val="000000"/>
              </w:rPr>
              <w:t xml:space="preserve">II (3,4,6,8,9), III (5,19-21), IV (7,10-18) общей площадью </w:t>
            </w:r>
            <w:proofErr w:type="gramStart"/>
            <w:r>
              <w:rPr>
                <w:rFonts w:eastAsia="Times New Roman"/>
                <w:bCs/>
                <w:color w:val="000000"/>
              </w:rPr>
              <w:t>116.3  кв.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м.</w:t>
            </w:r>
            <w:r>
              <w:rPr>
                <w:rFonts w:eastAsia="Times New Roman"/>
                <w:color w:val="000000"/>
              </w:rPr>
              <w:t xml:space="preserve"> расположенного по адресу: </w:t>
            </w:r>
            <w:r>
              <w:rPr>
                <w:rFonts w:eastAsia="Times New Roman"/>
                <w:bCs/>
                <w:color w:val="000000"/>
              </w:rPr>
              <w:t xml:space="preserve">Мурманская область, г.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Гаджиево</w:t>
            </w:r>
            <w:proofErr w:type="spellEnd"/>
            <w:r>
              <w:rPr>
                <w:rFonts w:eastAsia="Times New Roman"/>
                <w:bCs/>
                <w:color w:val="000000"/>
              </w:rPr>
              <w:t>, ул. Ленина, д. 57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Адрес расположения Имущества: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Мурманская область, г.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Гаджиево</w:t>
            </w:r>
            <w:proofErr w:type="spellEnd"/>
            <w:r>
              <w:rPr>
                <w:rFonts w:eastAsia="Times New Roman"/>
                <w:bCs/>
                <w:color w:val="000000"/>
              </w:rPr>
              <w:t>, ул.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</w:rPr>
              <w:t xml:space="preserve">Ленина, д. 57, </w:t>
            </w:r>
            <w:r>
              <w:rPr>
                <w:rFonts w:eastAsia="Times New Roman"/>
                <w:color w:val="000000"/>
              </w:rPr>
              <w:t xml:space="preserve">нежилое помещение </w:t>
            </w:r>
            <w:r>
              <w:rPr>
                <w:rFonts w:eastAsia="Times New Roman"/>
                <w:bCs/>
                <w:color w:val="000000"/>
              </w:rPr>
              <w:t>II (3,4,6,8,9), III (5,19-21), IV (7,10-18)</w:t>
            </w:r>
          </w:p>
        </w:tc>
      </w:tr>
      <w:tr w:rsidR="006E1373" w:rsidTr="006E1373">
        <w:trPr>
          <w:trHeight w:val="42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Состав Имущества: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rPr>
                <w:rFonts w:eastAsia="Times New Roman"/>
                <w:bCs/>
                <w:color w:val="000000"/>
              </w:rPr>
            </w:pPr>
            <w:r>
              <w:t xml:space="preserve">Недвижимое имущество - нежилое помещение, общей площадью </w:t>
            </w:r>
            <w:proofErr w:type="gramStart"/>
            <w:r>
              <w:rPr>
                <w:rFonts w:eastAsia="Times New Roman"/>
                <w:bCs/>
                <w:color w:val="000000"/>
              </w:rPr>
              <w:t>116.3  кв.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м</w:t>
            </w:r>
            <w:r>
              <w:t xml:space="preserve"> с кадастровым номером 51:23:0010101:2695, этаж цокольный, расположенных в здании по адресу: </w:t>
            </w:r>
            <w:r>
              <w:rPr>
                <w:rFonts w:eastAsia="Times New Roman"/>
                <w:bCs/>
                <w:color w:val="000000"/>
              </w:rPr>
              <w:t xml:space="preserve">Мурманская область, г.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Гаджиево</w:t>
            </w:r>
            <w:proofErr w:type="spellEnd"/>
            <w:r>
              <w:rPr>
                <w:rFonts w:eastAsia="Times New Roman"/>
                <w:bCs/>
                <w:color w:val="000000"/>
              </w:rPr>
              <w:t>, ул.</w:t>
            </w:r>
          </w:p>
          <w:p w:rsidR="006E1373" w:rsidRDefault="006E1373">
            <w:pPr>
              <w:keepNext/>
              <w:keepLines/>
              <w:tabs>
                <w:tab w:val="left" w:pos="735"/>
              </w:tabs>
            </w:pPr>
            <w:r>
              <w:rPr>
                <w:rFonts w:eastAsia="Times New Roman"/>
                <w:bCs/>
                <w:color w:val="000000"/>
              </w:rPr>
              <w:t>Ленина, д. 57,</w:t>
            </w:r>
            <w:r>
              <w:t xml:space="preserve"> пом. </w:t>
            </w:r>
            <w:r>
              <w:rPr>
                <w:rFonts w:eastAsia="Times New Roman"/>
                <w:bCs/>
                <w:color w:val="000000"/>
              </w:rPr>
              <w:t>II (3,4,6,8,9), III (5,19-21), IV (7,10-18)</w:t>
            </w:r>
            <w:r>
              <w:t xml:space="preserve">, </w:t>
            </w:r>
            <w:proofErr w:type="gramStart"/>
            <w:r>
              <w:t xml:space="preserve">принадлежащее  </w:t>
            </w:r>
            <w:r>
              <w:rPr>
                <w:rFonts w:eastAsia="Times New Roman"/>
                <w:bCs/>
                <w:color w:val="000000"/>
              </w:rPr>
              <w:t>МУП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«Коммунальные службы» город Полярный ЗАТО Александровск Мурманской области </w:t>
            </w:r>
            <w:r>
              <w:t xml:space="preserve">на праве хозяйственного введения, что подтверждается записью регистрации в Едином государственном реестре недвижимости  </w:t>
            </w:r>
            <w:r>
              <w:rPr>
                <w:rFonts w:eastAsia="Times New Roman"/>
              </w:rPr>
              <w:t>от 16.05.2022</w:t>
            </w:r>
            <w:r>
              <w:rPr>
                <w:rFonts w:eastAsia="Times New Roman"/>
              </w:rPr>
              <w:br/>
              <w:t xml:space="preserve">№ 51:23:0010101:2695-51/034/2022-2. </w:t>
            </w:r>
            <w:r>
              <w:t xml:space="preserve"> Сведения о характеристиках Объекта, зарегистрированных правах и обременениях содержатся в выписке из ЕГРН </w:t>
            </w:r>
            <w:r>
              <w:rPr>
                <w:rFonts w:eastAsia="Times New Roman"/>
              </w:rPr>
              <w:t>от 16.05.2022</w:t>
            </w:r>
            <w:r>
              <w:t xml:space="preserve"> № КУВИ-001/2023-114686888, выданной филиалом ФГБУ «ФКП </w:t>
            </w:r>
            <w:proofErr w:type="spellStart"/>
            <w:r>
              <w:t>Росреестра</w:t>
            </w:r>
            <w:proofErr w:type="spellEnd"/>
            <w:r>
              <w:t>» по Мурманской области.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условия (обременение)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Дополнительные условия (обременение)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Аренда на 11 месяцев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Информация о Собственнике (Продавце)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jc w:val="lef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МУП «Коммунальные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</w:rPr>
              <w:t>службы»город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</w:rPr>
              <w:t xml:space="preserve"> Полярный ЗАТО Александровск Мурманской области</w:t>
            </w:r>
          </w:p>
          <w:p w:rsidR="006E1373" w:rsidRDefault="006E137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ОГРН</w:t>
            </w:r>
            <w:r>
              <w:rPr>
                <w:rFonts w:eastAsia="Times New Roman"/>
                <w:b/>
                <w:bCs/>
                <w:kern w:val="36"/>
              </w:rPr>
              <w:t xml:space="preserve"> </w:t>
            </w:r>
            <w:r>
              <w:rPr>
                <w:rFonts w:eastAsia="Times New Roman"/>
              </w:rPr>
              <w:t>1045100130228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Место нахождение: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184650, Мурманская область, город Полярный, ул. </w:t>
            </w:r>
            <w:proofErr w:type="spellStart"/>
            <w:r>
              <w:rPr>
                <w:rFonts w:eastAsia="Times New Roman"/>
              </w:rPr>
              <w:t>Видяева</w:t>
            </w:r>
            <w:proofErr w:type="spellEnd"/>
            <w:r>
              <w:rPr>
                <w:rFonts w:eastAsia="Times New Roman"/>
              </w:rPr>
              <w:t>, д.1.</w:t>
            </w:r>
          </w:p>
          <w:p w:rsidR="006E1373" w:rsidRDefault="006E1373">
            <w:pPr>
              <w:jc w:val="left"/>
              <w:rPr>
                <w:rFonts w:eastAsia="Times New Roman"/>
              </w:rPr>
            </w:pPr>
          </w:p>
          <w:p w:rsidR="006E1373" w:rsidRDefault="006E1373">
            <w:pPr>
              <w:keepNext/>
              <w:keepLines/>
            </w:pP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Организатор торгов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bCs/>
                <w:spacing w:val="-1"/>
              </w:rPr>
              <w:t>Ответственное лицо за проведение торгов (далее - Организатор):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МУП «Коммунальные </w:t>
            </w:r>
            <w:proofErr w:type="spellStart"/>
            <w:proofErr w:type="gramStart"/>
            <w:r>
              <w:rPr>
                <w:rFonts w:eastAsia="Times New Roman"/>
              </w:rPr>
              <w:t>службы»город</w:t>
            </w:r>
            <w:proofErr w:type="spellEnd"/>
            <w:proofErr w:type="gramEnd"/>
            <w:r>
              <w:rPr>
                <w:rFonts w:eastAsia="Times New Roman"/>
              </w:rPr>
              <w:t xml:space="preserve"> Полярный ЗАТО Александровск Мурманской области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ОГРН</w:t>
            </w:r>
            <w:r>
              <w:rPr>
                <w:rFonts w:eastAsia="Times New Roman"/>
                <w:b/>
                <w:bCs/>
                <w:kern w:val="36"/>
              </w:rPr>
              <w:t xml:space="preserve"> </w:t>
            </w:r>
            <w:r>
              <w:rPr>
                <w:rFonts w:eastAsia="Times New Roman"/>
              </w:rPr>
              <w:t>1045100130228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Место нахождение: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184650, Мурманская область, город Полярный, ул. </w:t>
            </w:r>
            <w:proofErr w:type="spellStart"/>
            <w:r>
              <w:rPr>
                <w:rFonts w:eastAsia="Times New Roman"/>
              </w:rPr>
              <w:t>Видяева</w:t>
            </w:r>
            <w:proofErr w:type="spellEnd"/>
            <w:r>
              <w:rPr>
                <w:rFonts w:eastAsia="Times New Roman"/>
              </w:rPr>
              <w:t>, д.1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 xml:space="preserve">Адрес электронной почты: </w:t>
            </w:r>
          </w:p>
          <w:p w:rsidR="006E1373" w:rsidRDefault="006E1373">
            <w:pPr>
              <w:keepNext/>
              <w:keepLines/>
              <w:rPr>
                <w:rFonts w:eastAsia="Times New Roman"/>
                <w:spacing w:val="-1"/>
              </w:rPr>
            </w:pPr>
            <w:r>
              <w:t xml:space="preserve">официальный сайт:   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062400">
            <w:pPr>
              <w:keepNext/>
              <w:keepLines/>
            </w:pPr>
            <w:hyperlink r:id="rId6" w:history="1">
              <w:r w:rsidR="006E1373">
                <w:rPr>
                  <w:rStyle w:val="a3"/>
                </w:rPr>
                <w:t>zato.mup@gmail.com</w:t>
              </w:r>
            </w:hyperlink>
            <w:r w:rsidR="006E1373">
              <w:t xml:space="preserve">   </w:t>
            </w:r>
          </w:p>
          <w:p w:rsidR="006E1373" w:rsidRDefault="006E1373">
            <w:pPr>
              <w:keepNext/>
              <w:keepLines/>
            </w:pP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t xml:space="preserve"> chayka51.ru    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spacing w:val="-1"/>
              </w:rPr>
            </w:pPr>
            <w:r>
              <w:rPr>
                <w:rFonts w:eastAsia="Times New Roman"/>
              </w:rPr>
              <w:t>Контактные лица: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jc w:val="left"/>
            </w:pPr>
            <w:r>
              <w:t>8(81551)72655</w:t>
            </w:r>
          </w:p>
          <w:p w:rsidR="006E1373" w:rsidRDefault="006E1373">
            <w:pPr>
              <w:keepNext/>
              <w:keepLines/>
              <w:jc w:val="left"/>
            </w:pPr>
          </w:p>
        </w:tc>
      </w:tr>
      <w:tr w:rsidR="006E1373" w:rsidTr="006E1373">
        <w:trPr>
          <w:trHeight w:val="20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Начальная цена, шаг аукциона и задаток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цена аукциона: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</w:rPr>
              <w:t>2 633 000 (Два миллиона шестьсот тридцать три тысячи) рублей 00 копеек, без учета НДС согласно Отчёта об определении рыночной стоимости объекта оценки № 16 от 06.04.2023 г.</w:t>
            </w:r>
          </w:p>
          <w:p w:rsidR="006E1373" w:rsidRDefault="006E137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Покупатель обязан оплатить цену договора единовременно. </w:t>
            </w:r>
          </w:p>
          <w:p w:rsidR="006E1373" w:rsidRDefault="006E1373">
            <w:pPr>
              <w:jc w:val="left"/>
              <w:rPr>
                <w:rFonts w:eastAsia="Times New Roman"/>
              </w:rPr>
            </w:pP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предусмотрены условия отсрочки оплаты цены договора и оформления ипотеки</w:t>
            </w:r>
          </w:p>
        </w:tc>
      </w:tr>
      <w:tr w:rsidR="006E1373" w:rsidTr="006E1373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Шаг аукциона на повышение: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1 % от начальной цены лота 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Условия, варианты и сроки оплаты по договору, заключаемому по результатам аукциона, а также информация о способах обеспечения исполнения обязательств по договору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В Документации и в форме договора купли-продажи, являющейся неотъемлемой частью Извещения.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Условие о задатке: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Для участия в аукционе Пользователь вносит задаток в соответствии с условиями договора о задатке, размещённого в составе Извещения.</w:t>
            </w:r>
          </w:p>
          <w:p w:rsidR="006E1373" w:rsidRDefault="006E1373">
            <w:pPr>
              <w:keepNext/>
              <w:keepLines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В платежном поручении, в графе </w:t>
            </w:r>
            <w:r>
              <w:rPr>
                <w:rFonts w:eastAsia="Times New Roman"/>
                <w:b/>
              </w:rPr>
              <w:t>«Назначение платежа» Пользователю необходимо указать: «Оплата задатка по процедуре № SBR ______от участника ____</w:t>
            </w:r>
            <w:proofErr w:type="gramStart"/>
            <w:r>
              <w:rPr>
                <w:rFonts w:eastAsia="Times New Roman"/>
                <w:b/>
              </w:rPr>
              <w:t>_  ИНН</w:t>
            </w:r>
            <w:proofErr w:type="gramEnd"/>
            <w:r>
              <w:rPr>
                <w:rFonts w:eastAsia="Times New Roman"/>
                <w:b/>
              </w:rPr>
              <w:t xml:space="preserve"> ________».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о задатке считается заключенным на условиях размещенной в Извещении формы договора задатка (договор присоединения) в случае подачи заявки на участие в торгах и перечисления задатка в полном объеме.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Задаток служит обеспечением исполнения обязательства Победителя аукциона по заключению договора и оплате стоимости Имущества. Задаток, перечисленный Победителем аукциона, засчитывается в счет платежа по договору в соответствии с условиями договора.</w:t>
            </w:r>
          </w:p>
          <w:p w:rsidR="006E1373" w:rsidRDefault="006E1373">
            <w:pPr>
              <w:keepNext/>
              <w:keepLines/>
            </w:pPr>
            <w:r>
              <w:t xml:space="preserve">В случае признания торгов несостоявшимися по причине допуска Единственного участника, задаток такого участника зачисляется в счёт оплаты по договору при условии принятия обоюдного решения обеих сторон о заключении такого договора. </w:t>
            </w:r>
          </w:p>
          <w:p w:rsidR="006E1373" w:rsidRDefault="006E1373">
            <w:pPr>
              <w:keepNext/>
              <w:keepLines/>
            </w:pPr>
            <w:r>
              <w:t xml:space="preserve">В случае отказа от заключения договора одной из сторон и официальном уведомлении об этом организатора торгов, задаток Единственного участника подлежит разблокировке в течение одного рабочего дня.  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Задаток перечислятся непосредственно Пользователем, подающим заявку. Задаток от третьего лица не принимается.</w:t>
            </w:r>
          </w:p>
        </w:tc>
      </w:tr>
      <w:tr w:rsidR="006E1373" w:rsidTr="006E1373">
        <w:trPr>
          <w:trHeight w:val="65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Размер задатка: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263 300 (двести шестьдесят три тысячи триста </w:t>
            </w:r>
            <w:proofErr w:type="gramStart"/>
            <w:r>
              <w:rPr>
                <w:rFonts w:eastAsia="Times New Roman"/>
              </w:rPr>
              <w:t>рублей)или</w:t>
            </w:r>
            <w:proofErr w:type="gramEnd"/>
            <w:r>
              <w:rPr>
                <w:rFonts w:eastAsia="Times New Roman"/>
              </w:rPr>
              <w:t xml:space="preserve"> 10 %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Ref410999703" w:colFirst="0" w:colLast="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Реквизиты для перечисления задатка: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jc w:val="left"/>
              <w:rPr>
                <w:rStyle w:val="a6"/>
              </w:rPr>
            </w:pPr>
            <w:r>
              <w:rPr>
                <w:rStyle w:val="a6"/>
                <w:rFonts w:eastAsia="Times New Roman"/>
              </w:rPr>
              <w:t>АО «Сбербанк-АСТ» ИНН:7707308480, р/</w:t>
            </w:r>
            <w:proofErr w:type="gramStart"/>
            <w:r>
              <w:rPr>
                <w:rStyle w:val="a6"/>
                <w:rFonts w:eastAsia="Times New Roman"/>
              </w:rPr>
              <w:t>сч.:</w:t>
            </w:r>
            <w:proofErr w:type="gramEnd"/>
            <w:r>
              <w:rPr>
                <w:rStyle w:val="a6"/>
                <w:rFonts w:eastAsia="Times New Roman"/>
              </w:rPr>
              <w:t xml:space="preserve">40702810300020038047, кор.сч.:30101810400000000225, </w:t>
            </w:r>
          </w:p>
          <w:p w:rsidR="006E1373" w:rsidRDefault="006E1373">
            <w:pPr>
              <w:keepNext/>
              <w:keepLines/>
              <w:jc w:val="left"/>
            </w:pPr>
            <w:r>
              <w:rPr>
                <w:rStyle w:val="a6"/>
                <w:rFonts w:eastAsia="Times New Roman"/>
              </w:rPr>
              <w:t>БИК:044525225, в ПАО Сбербанк</w:t>
            </w:r>
          </w:p>
        </w:tc>
      </w:tr>
      <w:bookmarkEnd w:id="2"/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Срок перечисления задатка: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Задаток в размере, указанном в настоящем Извещении, должен быть внесен Пользователем на расчетный счет Организатора торгов не позднее даты и времени окончания приема заявок на участие в торгах.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Возврат задатка: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Осуществляется в порядке, установленном в договоре о задатке, размещенного в составе аукционной </w:t>
            </w:r>
            <w:r w:rsidR="00062400">
              <w:rPr>
                <w:rFonts w:eastAsia="Times New Roman"/>
              </w:rPr>
              <w:t>документации</w:t>
            </w:r>
            <w:bookmarkStart w:id="3" w:name="_GoBack"/>
            <w:bookmarkEnd w:id="3"/>
            <w:r>
              <w:rPr>
                <w:rFonts w:eastAsia="Times New Roman"/>
              </w:rPr>
              <w:t>.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 порядок подачи заявок на участие в торгах</w:t>
            </w:r>
          </w:p>
        </w:tc>
      </w:tr>
      <w:tr w:rsidR="006E1373" w:rsidTr="006E1373">
        <w:trPr>
          <w:trHeight w:val="2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Порядок подачи: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pStyle w:val="1"/>
              <w:keepNext/>
              <w:keepLines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/>
            </w:pPr>
            <w:r>
              <w:rPr>
                <w:rFonts w:eastAsia="Times New Roman"/>
              </w:rPr>
              <w:t>Заявка на участие в аукционе должна быть подана в электронной форме на электронной торговой площадке. Перечень документов, которые должны быть приложены к заявке, изложен в п. 3 Документации.</w:t>
            </w:r>
          </w:p>
        </w:tc>
      </w:tr>
      <w:tr w:rsidR="006E1373" w:rsidTr="006E1373">
        <w:trPr>
          <w:trHeight w:val="2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Дата и время начала приема заявок: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06.06.2023 г. с 10.00 по московскому времени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Дата и время окончания приема заявок: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t>10.07.2023 г. в 00.00</w:t>
            </w:r>
            <w:r>
              <w:rPr>
                <w:rStyle w:val="a6"/>
                <w:rFonts w:eastAsia="Times New Roman"/>
              </w:rPr>
              <w:t xml:space="preserve"> по московскому времени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рассмотрения заявок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Время и дата рассмотрения заявок: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pStyle w:val="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</w:pPr>
            <w:r>
              <w:rPr>
                <w:rFonts w:eastAsia="Times New Roman"/>
              </w:rPr>
              <w:t xml:space="preserve">11.07.2023 г. 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Оформление протокола рассмотрения заявок (протокол допуска заявок):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pStyle w:val="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</w:rPr>
            </w:pPr>
            <w:r>
              <w:t>Порядок оформления и размещения протокола допуска заявок установлен частью 4 Документации.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Место, дата и порядок проведения аукциона: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Дата и время начала аукциона: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pStyle w:val="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</w:pPr>
            <w:r>
              <w:rPr>
                <w:rStyle w:val="a6"/>
                <w:rFonts w:eastAsia="Times New Roman"/>
              </w:rPr>
              <w:t>12.07.2023 г. в 12.00 по московскому времени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Место проведения аукциона: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t xml:space="preserve">Электронная торговая площадка </w:t>
            </w:r>
            <w:hyperlink r:id="rId7" w:history="1">
              <w:r>
                <w:rPr>
                  <w:rStyle w:val="a3"/>
                  <w:b/>
                </w:rPr>
                <w:t>http://utp.sberbank-ast.ru/</w:t>
              </w:r>
            </w:hyperlink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Порядок проведения аукциона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Аукцион проводится в электронной форме на электронной торговой площадке в порядке, предусмотренном статьями 447 – 449 Гражданского кодекса Российской Федерации, Документацией и в соответствии с регламентом электронной торговой площадки.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Победитель аукциона (торгов):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Победителем процедуры признается Участник аукциона, предложивший наиболее высокую цену лота.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</w:rPr>
              <w:t>Срок заключения договора купли-продажи: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заключается в течение 15 (пятнадцати) рабочих дней с даты публикации протокола подведения итогов аукциона.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  <w:bCs/>
                <w:spacing w:val="-1"/>
              </w:rPr>
            </w:pPr>
            <w:r>
              <w:rPr>
                <w:rFonts w:eastAsia="Times New Roman"/>
                <w:bCs/>
                <w:spacing w:val="-1"/>
              </w:rPr>
              <w:t>Оформление протокола подведения итогов: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pStyle w:val="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</w:rPr>
            </w:pPr>
            <w:r>
              <w:t>Порядок оформления и размещения протокола подведения итогов установлен частью 5 Документации.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pStyle w:val="a5"/>
              <w:keepNext/>
              <w:keepLines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Порядок ознакомления с документацией,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формами документов и условиями аукциона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Место размещения в сети «Интернет»: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Документация находится в открытом доступе, начиная с даты размещения Документации в информационно-телекоммуникационной сети «Интернет» http://utp.sberbank-ast.ru/, Торговая секция (далее – ТС) «Реализация имущества», раздел «Продажа», </w:t>
            </w:r>
            <w:r>
              <w:t xml:space="preserve">chayka51.ru    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Документы на Объект недвижимости можно также запросить у Организатора торгов, направив на электронную почту контактного лица, указанного в Извещении, а также Документации, запрос на предоставление документов. В соответствии с запросом Организатор торгов в течение трех рабочих дней с момента получения запроса от Пользователя предоставляет имеющиеся документы.</w:t>
            </w:r>
          </w:p>
          <w:p w:rsidR="006E1373" w:rsidRDefault="006E1373">
            <w:pPr>
              <w:keepNext/>
              <w:keepLines/>
              <w:rPr>
                <w:rFonts w:eastAsia="Times New Roman"/>
              </w:rPr>
            </w:pP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 w:rsidP="00AB5507">
            <w:pPr>
              <w:pStyle w:val="a5"/>
              <w:keepNext/>
              <w:keepLines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ознакомления с документацией: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rPr>
                <w:rFonts w:eastAsia="Times New Roman"/>
              </w:rPr>
              <w:t>В сети «Интернет» - в любое время с даты размещения.</w:t>
            </w:r>
          </w:p>
        </w:tc>
      </w:tr>
      <w:tr w:rsidR="006E1373" w:rsidTr="006E1373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E1373" w:rsidRDefault="006E1373" w:rsidP="00AB5507">
            <w:pPr>
              <w:keepNext/>
              <w:keepLines/>
              <w:numPr>
                <w:ilvl w:val="0"/>
                <w:numId w:val="1"/>
              </w:numPr>
              <w:spacing w:line="276" w:lineRule="auto"/>
            </w:pPr>
            <w:r>
              <w:t>Внесение изменений в Документацию и отказ от проведения аукциона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spacing w:line="276" w:lineRule="auto"/>
            </w:pPr>
            <w:r>
              <w:t>10.1.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spacing w:line="276" w:lineRule="auto"/>
            </w:pPr>
            <w:r>
              <w:rPr>
                <w:bCs/>
              </w:rPr>
              <w:t>Внесение изменений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spacing w:line="276" w:lineRule="auto"/>
            </w:pPr>
            <w:r>
              <w:t xml:space="preserve">Продавец Имущества вправе принять решение о внесении изменений в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или сокращением срока приема заявок. При </w:t>
            </w:r>
            <w:r>
              <w:rPr>
                <w:lang w:val="x-none"/>
              </w:rPr>
              <w:t>этом</w:t>
            </w:r>
            <w:r>
              <w:t>,</w:t>
            </w:r>
            <w:r>
              <w:rPr>
                <w:lang w:val="x-none"/>
              </w:rPr>
              <w:t xml:space="preserve"> если изменения </w:t>
            </w:r>
            <w:r>
              <w:t xml:space="preserve">касаются сокращения срока подачи заявок, </w:t>
            </w:r>
            <w:r>
              <w:rPr>
                <w:lang w:val="x-none"/>
              </w:rPr>
              <w:t>дата аукциона</w:t>
            </w:r>
            <w:r>
              <w:t xml:space="preserve"> устанавливается не ранее чем через 30 (тридцать)</w:t>
            </w:r>
            <w:r>
              <w:rPr>
                <w:lang w:val="x-none"/>
              </w:rPr>
              <w:t xml:space="preserve"> </w:t>
            </w:r>
            <w:r>
              <w:t xml:space="preserve">календарных </w:t>
            </w:r>
            <w:r>
              <w:rPr>
                <w:lang w:val="x-none"/>
              </w:rPr>
              <w:t>дней</w:t>
            </w:r>
            <w:r>
              <w:t xml:space="preserve"> с даты начала приема заявок. Любое изменение является неотъемлемой частью документации. Изменения подлежат размещению на сайте </w:t>
            </w:r>
            <w:hyperlink r:id="rId8" w:history="1">
              <w:r>
                <w:rPr>
                  <w:rStyle w:val="a3"/>
                </w:rPr>
                <w:t>http://utp.sberbank-ast.ru/</w:t>
              </w:r>
            </w:hyperlink>
            <w:r>
              <w:t>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t>10.2.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rPr>
                <w:bCs/>
              </w:rPr>
              <w:t>Отказ от проведения аукциона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spacing w:line="276" w:lineRule="auto"/>
            </w:pPr>
            <w:r>
              <w:t xml:space="preserve">Продавец в лице Организатора торгов вправе отказаться от проведения торгов не позднее, чем за 3 (календарных) дня до наступления даты проведения торгов. Сообщение об отказе проведения торгов размещается на сайте </w:t>
            </w:r>
            <w:hyperlink r:id="rId9" w:history="1">
              <w:r>
                <w:rPr>
                  <w:rStyle w:val="a3"/>
                </w:rPr>
                <w:t>http://utp.sberbank-ast.ru/</w:t>
              </w:r>
            </w:hyperlink>
            <w:r>
              <w:t>.</w:t>
            </w: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rPr>
                <w:bCs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spacing w:line="276" w:lineRule="auto"/>
            </w:pP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lastRenderedPageBreak/>
              <w:t>10.3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bCs/>
              </w:rPr>
            </w:pPr>
            <w:r>
              <w:rPr>
                <w:bCs/>
              </w:rPr>
              <w:t xml:space="preserve">Ограничение участия </w:t>
            </w:r>
            <w:proofErr w:type="gramStart"/>
            <w:r>
              <w:rPr>
                <w:bCs/>
              </w:rPr>
              <w:t>отдельных  категорий</w:t>
            </w:r>
            <w:proofErr w:type="gramEnd"/>
            <w:r>
              <w:rPr>
                <w:bCs/>
              </w:rPr>
              <w:t xml:space="preserve"> физических лиц и юридических лиц:</w:t>
            </w:r>
          </w:p>
          <w:p w:rsidR="006E1373" w:rsidRDefault="006E1373">
            <w:pPr>
              <w:keepNext/>
              <w:keepLines/>
              <w:rPr>
                <w:bCs/>
              </w:rPr>
            </w:pPr>
            <w:r>
              <w:rPr>
                <w:bCs/>
              </w:rPr>
              <w:t xml:space="preserve"> покупателями муниципального имущества не могут быть: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3" w:rsidRDefault="006E1373">
            <w:pPr>
              <w:keepNext/>
              <w:keepLines/>
              <w:spacing w:line="276" w:lineRule="auto"/>
            </w:pPr>
            <w:r>
              <w:t xml:space="preserve">.  Ограничение участия </w:t>
            </w:r>
            <w:proofErr w:type="gramStart"/>
            <w:r>
              <w:t>отдельных  категорий</w:t>
            </w:r>
            <w:proofErr w:type="gramEnd"/>
            <w:r>
              <w:t xml:space="preserve"> физических лиц и юридических лиц: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покупателями муниципального имущества не могут быть: 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       -  государственные и муниципальные унитарные предприятия;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       -  государственные и муниципальные учреждения;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       - юридические лица, в уставном </w:t>
            </w:r>
            <w:proofErr w:type="gramStart"/>
            <w:r>
              <w:t>капитале  которых</w:t>
            </w:r>
            <w:proofErr w:type="gramEnd"/>
            <w:r>
              <w:t xml:space="preserve"> доля Российской Федерации, субъектов Российской Федерации и муниципальных образований  превышает 25 процентов;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        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 xml:space="preserve">        Понятие «контролирующее </w:t>
            </w:r>
            <w:proofErr w:type="gramStart"/>
            <w:r>
              <w:t>лицо»  используется</w:t>
            </w:r>
            <w:proofErr w:type="gramEnd"/>
            <w:r>
              <w:t xml:space="preserve">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>
              <w:t>бенефициарный</w:t>
            </w:r>
            <w:proofErr w:type="spellEnd"/>
            <w:r>
              <w:t xml:space="preserve"> </w:t>
            </w:r>
            <w:proofErr w:type="gramStart"/>
            <w:r>
              <w:t>владелец»  используются</w:t>
            </w:r>
            <w:proofErr w:type="gramEnd"/>
            <w:r>
              <w:t xml:space="preserve"> в значениях, указанных  в статье 3 Федерального закона от 7 августа 2001 года № 115-ФЗ «О противодействии легализации (отмыванию) </w:t>
            </w:r>
            <w:r>
              <w:lastRenderedPageBreak/>
              <w:t>доходов, полученных преступным путем, и финансированию терроризма».</w:t>
            </w:r>
          </w:p>
          <w:p w:rsidR="006E1373" w:rsidRDefault="006E1373">
            <w:pPr>
              <w:keepNext/>
              <w:keepLines/>
              <w:spacing w:line="276" w:lineRule="auto"/>
            </w:pPr>
          </w:p>
        </w:tc>
      </w:tr>
      <w:tr w:rsidR="006E1373" w:rsidTr="006E13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</w:pPr>
            <w:r>
              <w:lastRenderedPageBreak/>
              <w:t>10.4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rPr>
                <w:bCs/>
              </w:rPr>
            </w:pPr>
            <w:r>
              <w:rPr>
                <w:bCs/>
              </w:rPr>
              <w:t xml:space="preserve"> Основания для не допуска претендента к участию в аукционе: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73" w:rsidRDefault="006E1373">
            <w:pPr>
              <w:keepNext/>
              <w:keepLines/>
              <w:spacing w:line="276" w:lineRule="auto"/>
            </w:pPr>
            <w: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>- представлены не все документы, указанные в информационном сообщении, или оформление указанных документов не соответствует законодательству Российской Федерации;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>- заявка подана лицом, не уполномоченным претендентом на осуществление таких действий;</w:t>
            </w:r>
          </w:p>
          <w:p w:rsidR="006E1373" w:rsidRDefault="006E1373">
            <w:pPr>
              <w:keepNext/>
              <w:keepLines/>
              <w:spacing w:line="276" w:lineRule="auto"/>
            </w:pPr>
            <w:r>
              <w:t>- не подтверждено поступление в установленный срок задатка на счет, указанный в данном информационном сообщении.</w:t>
            </w:r>
          </w:p>
        </w:tc>
      </w:tr>
    </w:tbl>
    <w:p w:rsidR="006E1373" w:rsidRDefault="006E1373" w:rsidP="006E1373">
      <w:pPr>
        <w:keepNext/>
        <w:keepLines/>
        <w:ind w:firstLine="709"/>
      </w:pPr>
    </w:p>
    <w:p w:rsidR="006E1373" w:rsidRDefault="006E1373" w:rsidP="006E1373">
      <w:pPr>
        <w:keepNext/>
        <w:keepLines/>
        <w:ind w:firstLine="709"/>
        <w:rPr>
          <w:b/>
        </w:rPr>
      </w:pPr>
      <w:r>
        <w:rPr>
          <w:b/>
        </w:rPr>
        <w:t>ВНИМАНИЕ!</w:t>
      </w:r>
    </w:p>
    <w:p w:rsidR="006E1373" w:rsidRDefault="006E1373" w:rsidP="006E1373">
      <w:pPr>
        <w:keepNext/>
        <w:keepLines/>
        <w:ind w:firstLine="709"/>
        <w:rPr>
          <w:b/>
        </w:rPr>
      </w:pPr>
      <w:r>
        <w:rPr>
          <w:b/>
        </w:rPr>
        <w:t>В соответствии с пунктом 1 статьи 3 Федерального закона от 14.07.1992 №3297-1 «О закрытом административно-территориальном образовании» (далее – Закон №3297-1) установлено, что особый режим безопасного функционирования организаций и (или) объектов в закрытом административно-территориальном образовании включает, в том числе ограничения на право ведения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проживание.</w:t>
      </w:r>
    </w:p>
    <w:p w:rsidR="006E1373" w:rsidRDefault="006E1373" w:rsidP="006E1373">
      <w:pPr>
        <w:keepNext/>
        <w:keepLines/>
        <w:ind w:firstLine="709"/>
        <w:rPr>
          <w:b/>
        </w:rPr>
      </w:pPr>
      <w:r>
        <w:rPr>
          <w:b/>
        </w:rPr>
        <w:t>Согласно пункту 1 статьи 8 Закона №3297-1 сделки по приобретению в собственность недвижимого имущества, находящегося на территории закрытого административно-территориального образования,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6E1373" w:rsidRDefault="006E1373" w:rsidP="006E1373">
      <w:pPr>
        <w:keepNext/>
        <w:keepLines/>
        <w:ind w:firstLine="709"/>
        <w:rPr>
          <w:b/>
        </w:rPr>
      </w:pPr>
      <w:r>
        <w:rPr>
          <w:b/>
        </w:rPr>
        <w:lastRenderedPageBreak/>
        <w:t>Пунктом 2 статьи 8 Закона № 3297-1 предусмотрено, что участие граждан и юридических лиц, не указанных в пункте 1 указанной статьи, в совершении, в том числе сделок, предусматривающих переход прав владения и (или) пользование муниципальным недвижимым имуществом,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находится организация и (или) объекты по роду деятельности которых создано закрытое административно-территориальное образование.</w:t>
      </w:r>
    </w:p>
    <w:p w:rsidR="006E1373" w:rsidRDefault="006E1373" w:rsidP="006E1373">
      <w:pPr>
        <w:keepNext/>
        <w:keepLines/>
        <w:ind w:firstLine="709"/>
        <w:rPr>
          <w:b/>
        </w:rPr>
      </w:pPr>
    </w:p>
    <w:p w:rsidR="006E1373" w:rsidRDefault="006E1373" w:rsidP="006E1373">
      <w:pPr>
        <w:keepNext/>
        <w:keepLines/>
        <w:ind w:firstLine="709"/>
      </w:pPr>
    </w:p>
    <w:p w:rsidR="006E1373" w:rsidRDefault="006E1373" w:rsidP="006E1373">
      <w:pPr>
        <w:keepNext/>
        <w:keepLines/>
        <w:ind w:firstLine="709"/>
      </w:pPr>
    </w:p>
    <w:p w:rsidR="00AB7519" w:rsidRDefault="00062400"/>
    <w:sectPr w:rsidR="00AB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B5C08"/>
    <w:multiLevelType w:val="multilevel"/>
    <w:tmpl w:val="26F61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73"/>
    <w:rsid w:val="00062400"/>
    <w:rsid w:val="00124DE9"/>
    <w:rsid w:val="004A4A38"/>
    <w:rsid w:val="006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EF24-832E-4500-A114-19A59E7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7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13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Абзац маркированнный Знак"/>
    <w:link w:val="a5"/>
    <w:uiPriority w:val="34"/>
    <w:locked/>
    <w:rsid w:val="006E1373"/>
    <w:rPr>
      <w:rFonts w:ascii="Calibri" w:hAnsi="Calibri" w:cs="Calibri"/>
    </w:rPr>
  </w:style>
  <w:style w:type="paragraph" w:styleId="a5">
    <w:name w:val="List Paragraph"/>
    <w:aliases w:val="Абзац маркированнный"/>
    <w:basedOn w:val="a"/>
    <w:link w:val="a4"/>
    <w:uiPriority w:val="34"/>
    <w:qFormat/>
    <w:rsid w:val="006E1373"/>
    <w:pPr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E1373"/>
    <w:pPr>
      <w:ind w:left="720"/>
    </w:pPr>
  </w:style>
  <w:style w:type="character" w:styleId="a6">
    <w:name w:val="Placeholder Text"/>
    <w:uiPriority w:val="99"/>
    <w:semiHidden/>
    <w:rsid w:val="006E1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to.mup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DB53-A0B2-4B6F-B8E7-699B6BA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МУПКС-1</dc:creator>
  <cp:keywords/>
  <dc:description/>
  <cp:lastModifiedBy>МУПКС-1</cp:lastModifiedBy>
  <cp:revision>2</cp:revision>
  <dcterms:created xsi:type="dcterms:W3CDTF">2023-06-05T09:57:00Z</dcterms:created>
  <dcterms:modified xsi:type="dcterms:W3CDTF">2023-06-05T10:13:00Z</dcterms:modified>
</cp:coreProperties>
</file>